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RECURSO ESPECI</w:t>
      </w:r>
      <w:bookmarkStart w:id="0" w:name="_GoBack"/>
      <w:bookmarkEnd w:id="0"/>
      <w:r>
        <w:rPr>
          <w:b/>
          <w:bCs/>
          <w:color w:val="333333"/>
          <w:sz w:val="20"/>
          <w:szCs w:val="20"/>
        </w:rPr>
        <w:t>AL Nº 1.246.739 - MG (2011⁄0053278-0)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RELATORA: MINISTRA NANCY </w:t>
      </w:r>
      <w:proofErr w:type="spellStart"/>
      <w:r>
        <w:rPr>
          <w:color w:val="333333"/>
          <w:sz w:val="20"/>
          <w:szCs w:val="20"/>
        </w:rPr>
        <w:t>ANDRIGHI</w:t>
      </w:r>
      <w:proofErr w:type="spellEnd"/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RECORRENTE: CARL WALTON RITCHIE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ADVOGADO: </w:t>
      </w:r>
      <w:proofErr w:type="spellStart"/>
      <w:r>
        <w:rPr>
          <w:color w:val="333333"/>
          <w:sz w:val="20"/>
          <w:szCs w:val="20"/>
        </w:rPr>
        <w:t>MARDEN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DRUMOND</w:t>
      </w:r>
      <w:proofErr w:type="spellEnd"/>
      <w:r>
        <w:rPr>
          <w:color w:val="333333"/>
          <w:sz w:val="20"/>
          <w:szCs w:val="20"/>
        </w:rPr>
        <w:t xml:space="preserve"> VIANA E OUTRO(S)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RECORRIDO: </w:t>
      </w:r>
      <w:proofErr w:type="spellStart"/>
      <w:r>
        <w:rPr>
          <w:color w:val="333333"/>
          <w:sz w:val="20"/>
          <w:szCs w:val="20"/>
        </w:rPr>
        <w:t>ODILSON</w:t>
      </w:r>
      <w:proofErr w:type="spellEnd"/>
      <w:r>
        <w:rPr>
          <w:color w:val="333333"/>
          <w:sz w:val="20"/>
          <w:szCs w:val="20"/>
        </w:rPr>
        <w:t xml:space="preserve"> ABADIO DE RESENDE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ADVOGADO: GIORGI THOMPSON DE SOUZA E OUTRO(S) 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EMENTA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DIREITO PROCESSUAL CIVIL. RECURSO ESPECIAL. EXECUÇÃO DE TÍTULO EXTRAJUDICIAL. CHEQUE. EMBARGOS DE DECLARAÇÃO. OMISSÃO, CONTRADIÇÃO OU OBSCURIDADE. NÃO OCORRÊNCIA. DISSÍDIO JURISPRUDENCIAL. COTEJO ANALÍTICO E SIMILITUDE FÁTICA. AUSÊNCIA. FORO COMPETENTE: LOCAL DE PAGAMENTO DO TÍTULO. DOMICÍLIO DO IDOSO. ART. 80 DA LEI 10.741⁄2003. NORMA APLICÁVEL A AÇÕES QUE VERSAM ACERCA DE INTERESSES DIFUSOS, COLETIVOS E INDIVIDUAIS INDISPONÍVEIS OU HOMOGÊNEOS.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1- Ausentes os vícios do art. 535 do CPC, rejeitam-se os embargos de declaração.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2- O dissídio jurisprudencial deve ser comprovado mediante o cotejo analítico entre acórdãos que versem sobre situações fáticas idênticas.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3- A interpretação conjunta dos </w:t>
      </w:r>
      <w:proofErr w:type="spellStart"/>
      <w:r>
        <w:rPr>
          <w:color w:val="333333"/>
          <w:sz w:val="20"/>
          <w:szCs w:val="20"/>
        </w:rPr>
        <w:t>arts</w:t>
      </w:r>
      <w:proofErr w:type="spellEnd"/>
      <w:r>
        <w:rPr>
          <w:color w:val="333333"/>
          <w:sz w:val="20"/>
          <w:szCs w:val="20"/>
        </w:rPr>
        <w:t xml:space="preserve">. 100, </w:t>
      </w:r>
      <w:proofErr w:type="spellStart"/>
      <w:r>
        <w:rPr>
          <w:color w:val="333333"/>
          <w:sz w:val="20"/>
          <w:szCs w:val="20"/>
        </w:rPr>
        <w:t>IV</w:t>
      </w:r>
      <w:proofErr w:type="spellEnd"/>
      <w:r>
        <w:rPr>
          <w:color w:val="333333"/>
          <w:sz w:val="20"/>
          <w:szCs w:val="20"/>
        </w:rPr>
        <w:t>, “d”, 576 e 585, I, do CPC autoriza a conclusão de que o foro do lugar do pagamento (sede da instituição financeira) é, em regra, o competente para o julgamento de execução aparelhada em cheque não pago.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4- O art. 80 da Lei n. 10.741⁄2003 limita-se a estabelecer, de modo expresso, a competência do foro do domicílio do idoso para processamento e julgamento das ações que versam acerca de seus interesses difusos, coletivos e individuais indisponíveis ou homogêneos (previstas no Capítulo </w:t>
      </w:r>
      <w:proofErr w:type="spellStart"/>
      <w:r>
        <w:rPr>
          <w:color w:val="333333"/>
          <w:sz w:val="20"/>
          <w:szCs w:val="20"/>
        </w:rPr>
        <w:t>III</w:t>
      </w:r>
      <w:proofErr w:type="spellEnd"/>
      <w:r>
        <w:rPr>
          <w:color w:val="333333"/>
          <w:sz w:val="20"/>
          <w:szCs w:val="20"/>
        </w:rPr>
        <w:t xml:space="preserve"> daquela lei), circunstância não verificada no particular.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5- A aplicação do art. 34 da Lei 7.537⁄1985 revela-se inviável, na medida em que seu texto não encerra regra de fixação de competência.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6- Recurso especial não provido. 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lastRenderedPageBreak/>
        <w:t>ACÓRDÃO</w:t>
      </w:r>
      <w:r>
        <w:rPr>
          <w:color w:val="333333"/>
          <w:sz w:val="20"/>
          <w:szCs w:val="20"/>
        </w:rPr>
        <w:t xml:space="preserve"> 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Vistos, relatados e discutidos estes autos, acordam os Ministros da TERCEIRA Turma do Superior Tribunal de Justiça, na conformidade dos votos e das notas taquigráficas constantes dos autos, por unanimidade, negar provimento ao recurso especial, nos termos do voto do(a) </w:t>
      </w:r>
      <w:proofErr w:type="spellStart"/>
      <w:r>
        <w:rPr>
          <w:color w:val="333333"/>
          <w:sz w:val="20"/>
          <w:szCs w:val="20"/>
        </w:rPr>
        <w:t>Sr</w:t>
      </w:r>
      <w:proofErr w:type="spellEnd"/>
      <w:r>
        <w:rPr>
          <w:color w:val="333333"/>
          <w:sz w:val="20"/>
          <w:szCs w:val="20"/>
        </w:rPr>
        <w:t xml:space="preserve">(a). Ministro(a) Relator(a). Os Srs. Ministros João Otávio de Noronha, Sidnei Beneti, Paulo de Tarso </w:t>
      </w:r>
      <w:proofErr w:type="spellStart"/>
      <w:r>
        <w:rPr>
          <w:color w:val="333333"/>
          <w:sz w:val="20"/>
          <w:szCs w:val="20"/>
        </w:rPr>
        <w:t>Sanseverino</w:t>
      </w:r>
      <w:proofErr w:type="spellEnd"/>
      <w:r>
        <w:rPr>
          <w:color w:val="333333"/>
          <w:sz w:val="20"/>
          <w:szCs w:val="20"/>
        </w:rPr>
        <w:t xml:space="preserve"> e Ricardo Villas </w:t>
      </w:r>
      <w:proofErr w:type="spellStart"/>
      <w:r>
        <w:rPr>
          <w:color w:val="333333"/>
          <w:sz w:val="20"/>
          <w:szCs w:val="20"/>
        </w:rPr>
        <w:t>Bôas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Cueva</w:t>
      </w:r>
      <w:proofErr w:type="spellEnd"/>
      <w:r>
        <w:rPr>
          <w:color w:val="333333"/>
          <w:sz w:val="20"/>
          <w:szCs w:val="20"/>
        </w:rPr>
        <w:t xml:space="preserve"> votaram com a </w:t>
      </w:r>
      <w:proofErr w:type="gramStart"/>
      <w:r>
        <w:rPr>
          <w:color w:val="333333"/>
          <w:sz w:val="20"/>
          <w:szCs w:val="20"/>
        </w:rPr>
        <w:t>Sra.</w:t>
      </w:r>
      <w:proofErr w:type="gramEnd"/>
      <w:r>
        <w:rPr>
          <w:color w:val="333333"/>
          <w:sz w:val="20"/>
          <w:szCs w:val="20"/>
        </w:rPr>
        <w:t xml:space="preserve"> Ministra Relatora. 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Brasília (DF), 02 de maio de 2013 (Data do Julgamento</w:t>
      </w:r>
      <w:proofErr w:type="gramStart"/>
      <w:r>
        <w:rPr>
          <w:color w:val="333333"/>
          <w:sz w:val="20"/>
          <w:szCs w:val="20"/>
        </w:rPr>
        <w:t>)</w:t>
      </w:r>
      <w:proofErr w:type="gramEnd"/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MINISTRA NANCY </w:t>
      </w:r>
      <w:proofErr w:type="spellStart"/>
      <w:r>
        <w:rPr>
          <w:b/>
          <w:bCs/>
          <w:color w:val="333333"/>
          <w:sz w:val="20"/>
          <w:szCs w:val="20"/>
        </w:rPr>
        <w:t>ANDRIGHI</w:t>
      </w:r>
      <w:proofErr w:type="spellEnd"/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Relatora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RELATÓRIO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Cuida-se de recurso especial interposto por CARL WALTON RITCHIE, com fundamento nas alíneas "a" e "c" do permissivo constitucional.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Ação: incidente de exceção de incompetência, oposto por </w:t>
      </w:r>
      <w:proofErr w:type="spellStart"/>
      <w:r>
        <w:rPr>
          <w:color w:val="333333"/>
          <w:sz w:val="20"/>
          <w:szCs w:val="20"/>
        </w:rPr>
        <w:t>ODILSON</w:t>
      </w:r>
      <w:proofErr w:type="spellEnd"/>
      <w:r>
        <w:rPr>
          <w:color w:val="333333"/>
          <w:sz w:val="20"/>
          <w:szCs w:val="20"/>
        </w:rPr>
        <w:t xml:space="preserve"> ABADIO DE RESENDE no curso da execução de título extrajudicial ajuizada em face dele pelo recorrente, por meio do qual pleiteia a remessa dos autos ao foro de Quirinópolis - GO, local de pagamento dos títulos de crédito e de seu domicílio.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Decisão: acolheu o pedido formulado pelo recorrido, para declarar a competência do foro de Quirinópolis - GO.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Acórdão: negou provimento ao agravo de instrumento interposto pelo recorrente.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Embargos de declaração: interpostos pelo recorrente</w:t>
      </w:r>
      <w:proofErr w:type="gramStart"/>
      <w:r>
        <w:rPr>
          <w:color w:val="333333"/>
          <w:sz w:val="20"/>
          <w:szCs w:val="20"/>
        </w:rPr>
        <w:t>, foram</w:t>
      </w:r>
      <w:proofErr w:type="gramEnd"/>
      <w:r>
        <w:rPr>
          <w:color w:val="333333"/>
          <w:sz w:val="20"/>
          <w:szCs w:val="20"/>
        </w:rPr>
        <w:t xml:space="preserve"> rejeitados.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Recurso especial: invoca dissídio jurisprudencial e alega violação dos artigos: 535, I e II, do CPC; 34 da Lei n. 7.573⁄1985; e 80 da Lei n. 10.741⁄2003. Afirma que houve negativa de prestação jurisdicional. Aduz que “a apresentação dos cheques ocorreu junto à </w:t>
      </w:r>
      <w:proofErr w:type="gramStart"/>
      <w:r>
        <w:rPr>
          <w:color w:val="333333"/>
          <w:sz w:val="20"/>
          <w:szCs w:val="20"/>
        </w:rPr>
        <w:t>praça</w:t>
      </w:r>
      <w:proofErr w:type="gramEnd"/>
      <w:r>
        <w:rPr>
          <w:color w:val="333333"/>
          <w:sz w:val="20"/>
          <w:szCs w:val="20"/>
        </w:rPr>
        <w:t xml:space="preserve"> de Uberlândia-MG via Câmara de Compensação, o que equivale à apresentação a pagamento” (e-STJ, fl. 177), de modo que o juízo dessa comarca é o competente para processar e julgar a presente ação executiva. Argumenta que “todos os processos que envolvem o idoso, como parte (em qualquer dos polos) ou interveniente, estão sujeitos à regra do art. 80” (e-STJ, fl. 179) da Lei n. 10.741⁄2003, que atribui </w:t>
      </w:r>
      <w:proofErr w:type="gramStart"/>
      <w:r>
        <w:rPr>
          <w:color w:val="333333"/>
          <w:sz w:val="20"/>
          <w:szCs w:val="20"/>
        </w:rPr>
        <w:t>a</w:t>
      </w:r>
      <w:proofErr w:type="gramEnd"/>
      <w:r>
        <w:rPr>
          <w:color w:val="333333"/>
          <w:sz w:val="20"/>
          <w:szCs w:val="20"/>
        </w:rPr>
        <w:t xml:space="preserve"> competência do foro de seu domicílio.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Decisão de admissibilidade: o </w:t>
      </w:r>
      <w:proofErr w:type="spellStart"/>
      <w:r>
        <w:rPr>
          <w:color w:val="333333"/>
          <w:sz w:val="20"/>
          <w:szCs w:val="20"/>
        </w:rPr>
        <w:t>TJ⁄MG</w:t>
      </w:r>
      <w:proofErr w:type="spellEnd"/>
      <w:r>
        <w:rPr>
          <w:color w:val="333333"/>
          <w:sz w:val="20"/>
          <w:szCs w:val="20"/>
        </w:rPr>
        <w:t xml:space="preserve"> não admitiu o recurso especial.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lastRenderedPageBreak/>
        <w:t>Agravo de instrumento: interposto pelo recorrente</w:t>
      </w:r>
      <w:proofErr w:type="gramStart"/>
      <w:r>
        <w:rPr>
          <w:color w:val="333333"/>
          <w:sz w:val="20"/>
          <w:szCs w:val="20"/>
        </w:rPr>
        <w:t>, foi</w:t>
      </w:r>
      <w:proofErr w:type="gramEnd"/>
      <w:r>
        <w:rPr>
          <w:color w:val="333333"/>
          <w:sz w:val="20"/>
          <w:szCs w:val="20"/>
        </w:rPr>
        <w:t xml:space="preserve"> provido, para o fim de que subissem os autos do recurso especial a esta Corte Superior.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É o relatório.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VOTO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Cinge-se a controvérsia a determinar o foro competente para processamento e julgamento de execução de título extrajudicial (cheque) ajuizada em face de idoso.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1- Da violação do art. 535 do CPC.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Os embargos de declaração, como </w:t>
      </w:r>
      <w:proofErr w:type="gramStart"/>
      <w:r>
        <w:rPr>
          <w:color w:val="333333"/>
          <w:sz w:val="20"/>
          <w:szCs w:val="20"/>
        </w:rPr>
        <w:t>é sabido</w:t>
      </w:r>
      <w:proofErr w:type="gramEnd"/>
      <w:r>
        <w:rPr>
          <w:color w:val="333333"/>
          <w:sz w:val="20"/>
          <w:szCs w:val="20"/>
        </w:rPr>
        <w:t>, constituem instrumento processual excepcional que se destina ao aprimoramento da decisão que apresente obscuridade, contradição ou omissão.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Quando o acórdão analisa fundamentadamente todas as questões relevantes à solução da lide, ainda que adote posicionamento diverso do pretendido pela parte, não padece dos vícios mencionados.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Na hipótese, o </w:t>
      </w:r>
      <w:proofErr w:type="spellStart"/>
      <w:r>
        <w:rPr>
          <w:color w:val="333333"/>
          <w:sz w:val="20"/>
          <w:szCs w:val="20"/>
        </w:rPr>
        <w:t>TJ⁄MG</w:t>
      </w:r>
      <w:proofErr w:type="spellEnd"/>
      <w:r>
        <w:rPr>
          <w:color w:val="333333"/>
          <w:sz w:val="20"/>
          <w:szCs w:val="20"/>
        </w:rPr>
        <w:t xml:space="preserve"> se pronunciou de maneira a abordar todos os aspectos essenciais da matéria devolvida a seu exame, dentro dos limites que lhe são impostos por lei. Prova disso é que integram o objeto da própria irresignação recursal, que será enfrentada a seguir.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Nessa medida, não há falar em violação do art. 535 do CPC. 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2- Da divergência jurisprudencial.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Entre os acórdãos trazidos à colação, não há o necessário cotejo analítico nem a comprovação da similitude fática, elementos indispensáveis à demonstração da divergência. Assim, a análise da existência do dissídio é inviável, porque foram descumpridos os </w:t>
      </w:r>
      <w:proofErr w:type="spellStart"/>
      <w:r>
        <w:rPr>
          <w:color w:val="333333"/>
          <w:sz w:val="20"/>
          <w:szCs w:val="20"/>
        </w:rPr>
        <w:t>arts</w:t>
      </w:r>
      <w:proofErr w:type="spellEnd"/>
      <w:r>
        <w:rPr>
          <w:color w:val="333333"/>
          <w:sz w:val="20"/>
          <w:szCs w:val="20"/>
        </w:rPr>
        <w:t xml:space="preserve">. </w:t>
      </w:r>
      <w:proofErr w:type="gramStart"/>
      <w:r>
        <w:rPr>
          <w:color w:val="333333"/>
          <w:sz w:val="20"/>
          <w:szCs w:val="20"/>
        </w:rPr>
        <w:t>541, parágrafo</w:t>
      </w:r>
      <w:proofErr w:type="gramEnd"/>
      <w:r>
        <w:rPr>
          <w:color w:val="333333"/>
          <w:sz w:val="20"/>
          <w:szCs w:val="20"/>
        </w:rPr>
        <w:t xml:space="preserve"> único, do CPC e 255, §§ 1º e 2º, do </w:t>
      </w:r>
      <w:proofErr w:type="spellStart"/>
      <w:r>
        <w:rPr>
          <w:color w:val="333333"/>
          <w:sz w:val="20"/>
          <w:szCs w:val="20"/>
        </w:rPr>
        <w:t>RISTJ</w:t>
      </w:r>
      <w:proofErr w:type="spellEnd"/>
      <w:r>
        <w:rPr>
          <w:color w:val="333333"/>
          <w:sz w:val="20"/>
          <w:szCs w:val="20"/>
        </w:rPr>
        <w:t>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3- Do foro competente para processamento e julgamento de execução fundada em cheques não pagos.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Verifica-se, das premissas fáticas assentadas pelo acórdão impugnado, que os títulos de crédito que aparelham a presente ação foram emitidos em Quirinópolis - GO, mesma localidade em que está sediado o banco sacado e onde reside o </w:t>
      </w:r>
      <w:proofErr w:type="spellStart"/>
      <w:r>
        <w:rPr>
          <w:color w:val="333333"/>
          <w:sz w:val="20"/>
          <w:szCs w:val="20"/>
        </w:rPr>
        <w:t>recorrido⁄executado</w:t>
      </w:r>
      <w:proofErr w:type="spellEnd"/>
      <w:r>
        <w:rPr>
          <w:color w:val="333333"/>
          <w:sz w:val="20"/>
          <w:szCs w:val="20"/>
        </w:rPr>
        <w:t xml:space="preserve"> (e-STJ, fl. 148).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Segundo disposição expressa do art. 576 do Código de Processo Civil, o processamento da execução fundada em título extrajudicial deve seguir as normas gerais de distribuição de competência previstas no Livro I, Título </w:t>
      </w:r>
      <w:proofErr w:type="spellStart"/>
      <w:r>
        <w:rPr>
          <w:color w:val="333333"/>
          <w:sz w:val="20"/>
          <w:szCs w:val="20"/>
        </w:rPr>
        <w:t>IV</w:t>
      </w:r>
      <w:proofErr w:type="spellEnd"/>
      <w:r>
        <w:rPr>
          <w:color w:val="333333"/>
          <w:sz w:val="20"/>
          <w:szCs w:val="20"/>
        </w:rPr>
        <w:t xml:space="preserve">, Capítulos II e </w:t>
      </w:r>
      <w:proofErr w:type="spellStart"/>
      <w:r>
        <w:rPr>
          <w:color w:val="333333"/>
          <w:sz w:val="20"/>
          <w:szCs w:val="20"/>
        </w:rPr>
        <w:t>III</w:t>
      </w:r>
      <w:proofErr w:type="spellEnd"/>
      <w:r>
        <w:rPr>
          <w:color w:val="333333"/>
          <w:sz w:val="20"/>
          <w:szCs w:val="20"/>
        </w:rPr>
        <w:t>, desse diploma legal.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lastRenderedPageBreak/>
        <w:t xml:space="preserve">Nesse contexto, a interpretação conjunta dos </w:t>
      </w:r>
      <w:proofErr w:type="spellStart"/>
      <w:r>
        <w:rPr>
          <w:color w:val="333333"/>
          <w:sz w:val="20"/>
          <w:szCs w:val="20"/>
        </w:rPr>
        <w:t>arts</w:t>
      </w:r>
      <w:proofErr w:type="spellEnd"/>
      <w:r>
        <w:rPr>
          <w:color w:val="333333"/>
          <w:sz w:val="20"/>
          <w:szCs w:val="20"/>
        </w:rPr>
        <w:t xml:space="preserve">. 100, </w:t>
      </w:r>
      <w:proofErr w:type="spellStart"/>
      <w:r>
        <w:rPr>
          <w:color w:val="333333"/>
          <w:sz w:val="20"/>
          <w:szCs w:val="20"/>
        </w:rPr>
        <w:t>IV</w:t>
      </w:r>
      <w:proofErr w:type="spellEnd"/>
      <w:r>
        <w:rPr>
          <w:color w:val="333333"/>
          <w:sz w:val="20"/>
          <w:szCs w:val="20"/>
        </w:rPr>
        <w:t xml:space="preserve">, “d”, e 585, I, do CPC autoriza a conclusão de que o foro do lugar de pagamento é, em regra, o competente para o julgamento de processo executivo lastreado em cheque não pago, sendo certo que se trata de competência territorial, de natureza relativa, conforme já assentado por esta Corte (confira-se, a título ilustrativo, o CC 107.769⁄AL, minha relatoria, Segunda Seção, </w:t>
      </w:r>
      <w:proofErr w:type="spellStart"/>
      <w:proofErr w:type="gramStart"/>
      <w:r>
        <w:rPr>
          <w:color w:val="333333"/>
          <w:sz w:val="20"/>
          <w:szCs w:val="20"/>
        </w:rPr>
        <w:t>DJe</w:t>
      </w:r>
      <w:proofErr w:type="spellEnd"/>
      <w:proofErr w:type="gramEnd"/>
      <w:r>
        <w:rPr>
          <w:color w:val="333333"/>
          <w:sz w:val="20"/>
          <w:szCs w:val="20"/>
        </w:rPr>
        <w:t xml:space="preserve"> 10⁄09⁄2010).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Convém esclarecer que, cuidando-se especificamente do título de crédito </w:t>
      </w:r>
      <w:proofErr w:type="gramStart"/>
      <w:r>
        <w:rPr>
          <w:color w:val="333333"/>
          <w:sz w:val="20"/>
          <w:szCs w:val="20"/>
        </w:rPr>
        <w:t>sob exame</w:t>
      </w:r>
      <w:proofErr w:type="gramEnd"/>
      <w:r>
        <w:rPr>
          <w:color w:val="333333"/>
          <w:sz w:val="20"/>
          <w:szCs w:val="20"/>
        </w:rPr>
        <w:t xml:space="preserve"> – cheque –, o local de pagamento (foro competente para a execução) é aquele onde está sediada a instituição financeira sacada. Vale dizer, é o lugar onde se situa a agência bancária em que o emitente mantém sua conta corrente.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Destaque-se que a doutrina atual acerca da matéria orienta-se precisamente nesse sentido, conforme se dessume das lições a seguir transcritas: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Tratando-se de cheque, a competência se fixa no lugar do pagamento, que é o indicado ao lado do nome do sacado (at. 2º, I, da Lei 7.357⁄1985), e só na omissão deste dado deriva para o domicílio do emitente. (</w:t>
      </w:r>
      <w:proofErr w:type="spellStart"/>
      <w:r>
        <w:rPr>
          <w:color w:val="333333"/>
          <w:sz w:val="20"/>
          <w:szCs w:val="20"/>
        </w:rPr>
        <w:t>Araken</w:t>
      </w:r>
      <w:proofErr w:type="spellEnd"/>
      <w:r>
        <w:rPr>
          <w:color w:val="333333"/>
          <w:sz w:val="20"/>
          <w:szCs w:val="20"/>
        </w:rPr>
        <w:t xml:space="preserve"> de Assis. Manual da Execução, 14ª ed., 2012, p. </w:t>
      </w:r>
      <w:proofErr w:type="gramStart"/>
      <w:r>
        <w:rPr>
          <w:color w:val="333333"/>
          <w:sz w:val="20"/>
          <w:szCs w:val="20"/>
        </w:rPr>
        <w:t>426)</w:t>
      </w:r>
      <w:proofErr w:type="gramEnd"/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A execução fundada em cheque deve igualmente ser proposta no foro do local do pagamento, indicado ao lado do nome do sacado, que será sempre a instituição financeira depositária dos recursos do emitente. (</w:t>
      </w:r>
      <w:proofErr w:type="spellStart"/>
      <w:r>
        <w:rPr>
          <w:color w:val="333333"/>
          <w:sz w:val="20"/>
          <w:szCs w:val="20"/>
        </w:rPr>
        <w:t>Fredie</w:t>
      </w:r>
      <w:proofErr w:type="spellEnd"/>
      <w:r>
        <w:rPr>
          <w:color w:val="333333"/>
          <w:sz w:val="20"/>
          <w:szCs w:val="20"/>
        </w:rPr>
        <w:t xml:space="preserve"> Didier Jr., Leonardo J. C. Cunha, Paula S. Braga e Rafael Oliveira. Curso de Direito Processual Civil, vol. 5: Execução, 3ª ed., 2011, p. </w:t>
      </w:r>
      <w:proofErr w:type="gramStart"/>
      <w:r>
        <w:rPr>
          <w:color w:val="333333"/>
          <w:sz w:val="20"/>
          <w:szCs w:val="20"/>
        </w:rPr>
        <w:t>242)</w:t>
      </w:r>
      <w:proofErr w:type="gramEnd"/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É preciso consignar, </w:t>
      </w:r>
      <w:proofErr w:type="gramStart"/>
      <w:r>
        <w:rPr>
          <w:color w:val="333333"/>
          <w:sz w:val="20"/>
          <w:szCs w:val="20"/>
        </w:rPr>
        <w:t>sob distinto</w:t>
      </w:r>
      <w:proofErr w:type="gramEnd"/>
      <w:r>
        <w:rPr>
          <w:color w:val="333333"/>
          <w:sz w:val="20"/>
          <w:szCs w:val="20"/>
        </w:rPr>
        <w:t xml:space="preserve"> norte, que o art. 80 da Lei n. 10.741⁄2003 – Estatuto do Idoso – não possui o alcance que o recorrente procura conferir-lhe.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Isso porque o dispositivo limita-se a estabelecer, de modo expresso, a competência do foro do domicílio do idoso para processamento e julgamento das ações concernentes à proteção judicial dos respectivos interesses difusos, coletivos e individuais indisponíveis ou homogêneos (previstas no Capítulo </w:t>
      </w:r>
      <w:proofErr w:type="spellStart"/>
      <w:r>
        <w:rPr>
          <w:color w:val="333333"/>
          <w:sz w:val="20"/>
          <w:szCs w:val="20"/>
        </w:rPr>
        <w:t>III</w:t>
      </w:r>
      <w:proofErr w:type="spellEnd"/>
      <w:r>
        <w:rPr>
          <w:color w:val="333333"/>
          <w:sz w:val="20"/>
          <w:szCs w:val="20"/>
        </w:rPr>
        <w:t xml:space="preserve"> daquela lei).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A respeito do enunciado normativo mencionado, valioso o apontamento feito por Oscar Hugo de Souza Ramos: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[...] nem todas as ações judiciais que tenham como parte um idoso, seja no </w:t>
      </w:r>
      <w:proofErr w:type="spellStart"/>
      <w:r>
        <w:rPr>
          <w:color w:val="333333"/>
          <w:sz w:val="20"/>
          <w:szCs w:val="20"/>
        </w:rPr>
        <w:t>pólo</w:t>
      </w:r>
      <w:proofErr w:type="spellEnd"/>
      <w:r>
        <w:rPr>
          <w:color w:val="333333"/>
          <w:sz w:val="20"/>
          <w:szCs w:val="20"/>
        </w:rPr>
        <w:t xml:space="preserve"> ativo ou passivo, terão obrigatoriamente como juízo competente o do foro do domicílio </w:t>
      </w:r>
      <w:proofErr w:type="gramStart"/>
      <w:r>
        <w:rPr>
          <w:color w:val="333333"/>
          <w:sz w:val="20"/>
          <w:szCs w:val="20"/>
        </w:rPr>
        <w:t>desse</w:t>
      </w:r>
      <w:proofErr w:type="gramEnd"/>
      <w:r>
        <w:rPr>
          <w:color w:val="333333"/>
          <w:sz w:val="20"/>
          <w:szCs w:val="20"/>
        </w:rPr>
        <w:t>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As ações que envolvam interesses e direitos individuais e disponíveis, como por exemplo, </w:t>
      </w:r>
      <w:proofErr w:type="gramStart"/>
      <w:r>
        <w:rPr>
          <w:color w:val="333333"/>
          <w:sz w:val="20"/>
          <w:szCs w:val="20"/>
        </w:rPr>
        <w:t>a maioria das questões contratuais, terão</w:t>
      </w:r>
      <w:proofErr w:type="gramEnd"/>
      <w:r>
        <w:rPr>
          <w:color w:val="333333"/>
          <w:sz w:val="20"/>
          <w:szCs w:val="20"/>
        </w:rPr>
        <w:t xml:space="preserve"> que obedecer às regras de competência previstas na legislação infraconstitucional, notadamente ao disposto nos artigos 91 a 101 do Código de Processo Civil, que cuida do disciplinamento da competência interna.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lastRenderedPageBreak/>
        <w:t xml:space="preserve">(in: </w:t>
      </w:r>
      <w:proofErr w:type="spellStart"/>
      <w:r>
        <w:rPr>
          <w:color w:val="333333"/>
          <w:sz w:val="20"/>
          <w:szCs w:val="20"/>
        </w:rPr>
        <w:t>Neida</w:t>
      </w:r>
      <w:proofErr w:type="spellEnd"/>
      <w:r>
        <w:rPr>
          <w:color w:val="333333"/>
          <w:sz w:val="20"/>
          <w:szCs w:val="20"/>
        </w:rPr>
        <w:t xml:space="preserve"> Maria Pinheiro (coordenadora). Estatuto do Idoso Comentado. 2ª ed., p. </w:t>
      </w:r>
      <w:proofErr w:type="gramStart"/>
      <w:r>
        <w:rPr>
          <w:color w:val="333333"/>
          <w:sz w:val="20"/>
          <w:szCs w:val="20"/>
        </w:rPr>
        <w:t>444)</w:t>
      </w:r>
      <w:proofErr w:type="gramEnd"/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Assim, uma vez que a pretensão do recorrente objetiva a tutela de direito individual e disponível – execução de título de crédito –, impõe-se reconhecer a não incidência, na espécie, da norma precitada.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Por derradeiro, cumpre afastar a aplicação do invocado art. 34 da Lei 7.537⁄1985, na medida em que seu texto não encerra regra de fixação de competência.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De fato, a norma restringe-se a traçar relação de equivalência entre a apresentação do cheque à câmara de compensação e a apresentação a pagamento, circunstância estranha à discussão posta a desate.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Tudo isso considerado, impõe-se concluir que se afigura correta a solução dada à controvérsia pelo Tribunal de origem, na medida em que declarou o foro do lugar do pagamento como competente para o processamento da execução dos cheques emitidos pelo recorrido.</w:t>
      </w:r>
    </w:p>
    <w:p w:rsidR="00AD0C81" w:rsidRDefault="00AD0C81" w:rsidP="00AD0C81">
      <w:pPr>
        <w:shd w:val="clear" w:color="auto" w:fill="FFFFFF"/>
        <w:spacing w:before="343" w:after="343" w:line="320" w:lineRule="atLeast"/>
        <w:jc w:val="both"/>
        <w:rPr>
          <w:rFonts w:ascii="Verdana" w:hAnsi="Verdana" w:cs="Arial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Forte nessas razões, NEGO PROVIMENTO ao recurso especial.</w:t>
      </w:r>
    </w:p>
    <w:p w:rsidR="009D1281" w:rsidRDefault="009D1281"/>
    <w:sectPr w:rsidR="009D1281" w:rsidSect="00B12294">
      <w:pgSz w:w="12242" w:h="18722" w:code="14"/>
      <w:pgMar w:top="2665" w:right="1134" w:bottom="2268" w:left="2835" w:header="709" w:footer="15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81"/>
    <w:rsid w:val="00033DE6"/>
    <w:rsid w:val="00044541"/>
    <w:rsid w:val="0008435C"/>
    <w:rsid w:val="00102831"/>
    <w:rsid w:val="001341E9"/>
    <w:rsid w:val="00171C4F"/>
    <w:rsid w:val="008858A8"/>
    <w:rsid w:val="00973B49"/>
    <w:rsid w:val="0097695F"/>
    <w:rsid w:val="009D1281"/>
    <w:rsid w:val="00AD0C81"/>
    <w:rsid w:val="00B12294"/>
    <w:rsid w:val="00D32FF5"/>
    <w:rsid w:val="00E42BA6"/>
    <w:rsid w:val="00E91F05"/>
    <w:rsid w:val="00FD1BBF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Theme="minorHAnsi" w:hAnsi="Century Schoolbook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8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Theme="minorHAnsi" w:hAnsi="Century Schoolbook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8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FF"/>
      </a:dk1>
      <a:lt1>
        <a:sysClr val="window" lastClr="CA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1459</Words>
  <Characters>7880</Characters>
  <Application>Microsoft Office Word</Application>
  <DocSecurity>0</DocSecurity>
  <Lines>65</Lines>
  <Paragraphs>18</Paragraphs>
  <ScaleCrop>false</ScaleCrop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TELMO ARISTIDES DOS SANTOS</dc:creator>
  <cp:lastModifiedBy>TELMO ARISTIDES DOS SANTOS</cp:lastModifiedBy>
  <cp:revision>1</cp:revision>
  <dcterms:created xsi:type="dcterms:W3CDTF">2013-06-14T12:43:00Z</dcterms:created>
  <dcterms:modified xsi:type="dcterms:W3CDTF">2013-06-14T12:45:00Z</dcterms:modified>
</cp:coreProperties>
</file>